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48"/>
          <w:szCs w:val="48"/>
        </w:rPr>
      </w:pPr>
      <w:r>
        <w:rPr>
          <w:rFonts w:ascii="Calibri" w:hAnsi="Calibri" w:cs="Times New Roman"/>
          <w:b/>
          <w:sz w:val="48"/>
          <w:szCs w:val="48"/>
        </w:rPr>
        <w:t xml:space="preserve">Руководство по подготовке пациентов </w:t>
      </w:r>
      <w:r>
        <w:rPr>
          <w:rFonts w:ascii="Calibri" w:hAnsi="Calibri" w:cs="Times New Roman"/>
          <w:b/>
          <w:sz w:val="48"/>
          <w:szCs w:val="48"/>
        </w:rPr>
        <w:t xml:space="preserve">эзофагогастродуоденоскопии</w:t>
      </w:r>
      <w:r>
        <w:rPr>
          <w:rFonts w:ascii="Calibri" w:hAnsi="Calibri" w:cs="Times New Roman"/>
          <w:b/>
          <w:sz w:val="48"/>
          <w:szCs w:val="48"/>
        </w:rPr>
        <w:t xml:space="preserve"> (ЭГДС)</w:t>
      </w:r>
      <w:r>
        <w:rPr>
          <w:rFonts w:ascii="Calibri" w:hAnsi="Calibri" w:cs="Times New Roman"/>
          <w:b/>
          <w:sz w:val="48"/>
          <w:szCs w:val="48"/>
        </w:rPr>
      </w:r>
    </w:p>
    <w:p>
      <w:pPr>
        <w:tabs>
          <w:tab w:val="left" w:pos="1701" w:leader="none"/>
          <w:tab w:val="left" w:pos="1985" w:leader="none"/>
        </w:tabs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-214680</wp:posOffset>
                </wp:positionH>
                <wp:positionV relativeFrom="paragraph">
                  <wp:posOffset>166855</wp:posOffset>
                </wp:positionV>
                <wp:extent cx="6134100" cy="2709952"/>
                <wp:effectExtent l="12700" t="12700" r="12700" b="8255"/>
                <wp:wrapNone/>
                <wp:docPr id="1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100" cy="2709952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 w="25400">
                          <a:solidFill>
                            <a:srgbClr val="D26F85"/>
                          </a:solidFill>
                          <a:miter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-251660288;o:allowoverlap:true;o:allowincell:true;mso-position-horizontal-relative:text;margin-left:-16.90pt;mso-position-horizontal:absolute;mso-position-vertical-relative:text;margin-top:13.14pt;mso-position-vertical:absolute;width:483.00pt;height:213.38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Times New Roman"/>
          <w:b/>
          <w:sz w:val="20"/>
          <w:szCs w:val="20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Эзофагогастродуоденоскопия</w:t>
      </w:r>
      <w:r>
        <w:rPr>
          <w:rFonts w:ascii="Calibri" w:hAnsi="Calibri"/>
          <w:sz w:val="28"/>
          <w:szCs w:val="28"/>
        </w:rPr>
        <w:t xml:space="preserve"> (ЭГДС) является наиболее информативным методом обследования верхних отделов желудочно-кишечного тракта. </w:t>
      </w:r>
      <w:r>
        <w:rPr>
          <w:rFonts w:ascii="Calibri" w:hAnsi="Calibri"/>
          <w:sz w:val="28"/>
          <w:szCs w:val="28"/>
        </w:rPr>
        <w:t xml:space="preserve">Современное оборудование экспертного </w:t>
      </w:r>
      <w:r>
        <w:rPr>
          <w:rFonts w:ascii="Calibri" w:hAnsi="Calibri"/>
          <w:sz w:val="28"/>
          <w:szCs w:val="28"/>
        </w:rPr>
        <w:t xml:space="preserve">класса</w:t>
      </w:r>
      <w:r>
        <w:rPr>
          <w:rFonts w:ascii="Calibri" w:hAnsi="Calibri"/>
          <w:sz w:val="28"/>
          <w:szCs w:val="28"/>
        </w:rPr>
        <w:t xml:space="preserve"> в руках опытных специалистов позволяет выявлять самые незначительные изменения слизистой оболочки и мельчайшие, вплоть до 1-2 мм, новообразования</w:t>
      </w:r>
      <w:r>
        <w:rPr>
          <w:rFonts w:ascii="Calibri" w:hAnsi="Calibri"/>
          <w:sz w:val="28"/>
          <w:szCs w:val="28"/>
        </w:rPr>
        <w:t xml:space="preserve">.</w:t>
      </w:r>
      <w:r>
        <w:rPr>
          <w:rFonts w:ascii="Calibri" w:hAnsi="Calibri"/>
          <w:sz w:val="28"/>
          <w:szCs w:val="28"/>
        </w:rPr>
      </w: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Подготовка к ЭГДС необременительна и не требует соблюдения особой диеты или приёма специальных препаратов. Тем не менее, для успешного выполнения процедуры и достижения максимальной информативности, необходимо выполнить следующие </w:t>
      </w:r>
      <w:r>
        <w:rPr>
          <w:rFonts w:ascii="Calibri" w:hAnsi="Calibri"/>
          <w:b/>
          <w:sz w:val="28"/>
          <w:szCs w:val="28"/>
          <w:u w:val="single"/>
        </w:rPr>
        <w:t xml:space="preserve">обязательные</w:t>
      </w:r>
      <w:r>
        <w:rPr>
          <w:rFonts w:ascii="Calibri" w:hAnsi="Calibri"/>
          <w:sz w:val="28"/>
          <w:szCs w:val="28"/>
        </w:rPr>
        <w:t xml:space="preserve"> условия.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</w:r>
      <w:r>
        <w:rPr>
          <w:rFonts w:ascii="Calibri" w:hAnsi="Calibri"/>
          <w:sz w:val="10"/>
          <w:szCs w:val="10"/>
        </w:rPr>
      </w:r>
    </w:p>
    <w:p>
      <w:pPr>
        <w:ind w:left="709"/>
        <w:spacing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124800</wp:posOffset>
                </wp:positionV>
                <wp:extent cx="586679" cy="576023"/>
                <wp:effectExtent l="12700" t="12700" r="10795" b="8255"/>
                <wp:wrapNone/>
                <wp:docPr id="2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602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665408;o:allowoverlap:true;o:allowincell:true;mso-position-horizontal-relative:text;margin-left:-21.60pt;mso-position-horizontal:absolute;mso-position-vertical-relative:text;margin-top:9.83pt;mso-position-vertical:absolute;width:46.20pt;height:45.36pt;mso-wrap-distance-left:9.00pt;mso-wrap-distance-top:0.00pt;mso-wrap-distance-right:9.00pt;mso-wrap-distance-bottom:0.00pt;v-text-anchor:middle;visibility:visible;" filled="f" strokecolor="#000000" strokeweight="1.5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36"/>
          <w:szCs w:val="36"/>
        </w:rPr>
        <w:t xml:space="preserve">Пожалуйста, ознакомьтесь с перечнем препаратов, приём которых необходимо скорректировать перед тем, как выполнить видеоколоноскопию</w:t>
      </w:r>
      <w:r>
        <w:rPr>
          <w:rFonts w:ascii="Calibri" w:hAnsi="Calibri"/>
          <w:b/>
          <w:bCs/>
          <w:sz w:val="36"/>
          <w:szCs w:val="36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-214507</wp:posOffset>
                </wp:positionH>
                <wp:positionV relativeFrom="paragraph">
                  <wp:posOffset>180169</wp:posOffset>
                </wp:positionV>
                <wp:extent cx="6134527" cy="3582147"/>
                <wp:effectExtent l="12700" t="12700" r="12700" b="12065"/>
                <wp:wrapNone/>
                <wp:docPr id="3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34527" cy="3582146"/>
                        </a:xfrm>
                        <a:prstGeom prst="roundRect">
                          <a:avLst>
                            <a:gd name="adj" fmla="val 3346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-251661312;o:allowoverlap:true;o:allowincell:true;mso-position-horizontal-relative:text;margin-left:-16.89pt;mso-position-horizontal:absolute;mso-position-vertical-relative:text;margin-top:14.19pt;mso-position-vertical:absolute;width:483.03pt;height:282.06pt;mso-wrap-distance-left:9.00pt;mso-wrap-distance-top:0.00pt;mso-wrap-distance-right:9.00pt;mso-wrap-distance-bottom:0.00pt;visibility:visible;" filled="f" strokecolor="#C00000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237759</wp:posOffset>
                </wp:positionV>
                <wp:extent cx="653143" cy="653143"/>
                <wp:effectExtent l="0" t="0" r="0" b="0"/>
                <wp:wrapNone/>
                <wp:docPr id="4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3143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2336;o:allowoverlap:true;o:allowincell:true;mso-position-horizontal-relative:text;margin-left:-73.70pt;mso-position-horizontal:absolute;mso-position-vertical-relative:text;margin-top:18.72pt;mso-position-vertical:absolute;width:51.43pt;height:51.43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/>
          <w:sz w:val="28"/>
          <w:szCs w:val="28"/>
        </w:rPr>
      </w:r>
    </w:p>
    <w:p>
      <w:pPr>
        <w:ind w:right="-28"/>
        <w:spacing w:line="240" w:lineRule="auto"/>
        <w:rPr>
          <w:rFonts w:ascii="Calibri" w:hAnsi="Calibri" w:cs="Arial"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c00000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За 3 дня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до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исследования необходимо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полностью прекратить приём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таблетированных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препаратов железа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Сорбифер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Феррум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Лек,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Фе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рретаб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др.), висмута (Де-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Нол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Улькавис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аналоги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), активированного угля.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Если вы принимаете препараты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влияющие на свёртывание крови - такие как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антикоагулянты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(Варфарин,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Эликвис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сарелто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или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дезагреганты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пирин,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Кардиомагнил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Кло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пидогрел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др.)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а также препараты группы </w:t>
      </w:r>
      <w:r>
        <w:rPr>
          <w:rFonts w:ascii="Calibri" w:hAnsi="Calibri" w:cs="Arial"/>
          <w:color w:val="1a1a1a"/>
          <w:sz w:val="28"/>
          <w:szCs w:val="28"/>
          <w:u w:val="single"/>
          <w:shd w:val="clear" w:color="auto" w:fill="ffffff"/>
        </w:rPr>
        <w:t xml:space="preserve">агонистов ГПП-1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(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Оземпик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Семавик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Квинсента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Мунжаро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и пр.) - 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обязательно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 проконсультируйтесь с лечащим врачом 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не позднее, чем за </w:t>
      </w:r>
      <w:r>
        <w:rPr>
          <w:rFonts w:ascii="Calibri" w:hAnsi="Calibri" w:cs="Arial"/>
          <w:b/>
          <w:color w:val="1a1a1a"/>
          <w:sz w:val="28"/>
          <w:szCs w:val="28"/>
          <w:u w:val="single"/>
          <w:shd w:val="clear" w:color="auto" w:fill="ffffff"/>
        </w:rPr>
        <w:t xml:space="preserve">7 дней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t xml:space="preserve"> до исследования</w: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w:t xml:space="preserve">, чтобы обсудить необходимость и возможность их временной отмены.</w: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right="-28"/>
        <w:spacing w:line="240" w:lineRule="auto"/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  <w:t xml:space="preserve">!</w:t>
      </w:r>
      <w:r>
        <w:rPr>
          <w:rFonts w:ascii="Calibri" w:hAnsi="Calibri" w:cs="Arial"/>
          <w:b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Если вы принимаете</w:t>
      </w:r>
      <w:r>
        <w:rPr>
          <w:rFonts w:ascii="Calibri" w:hAnsi="Calibri" w:cs="Arial"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  <w:t xml:space="preserve">пероральные сахароснижающие средства – в день исследования препарат можно отменить и возобновить его приём после проведения процедуры.</w:t>
      </w:r>
      <w:r>
        <w:rPr>
          <w:rFonts w:ascii="Calibri" w:hAnsi="Calibri" w:cs="Arial"/>
          <w:bCs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  <w:br w:type="page" w:clear="all"/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pStyle w:val="647"/>
        <w:ind w:left="709" w:firstLine="11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-268296</wp:posOffset>
                </wp:positionH>
                <wp:positionV relativeFrom="paragraph">
                  <wp:posOffset>-94460</wp:posOffset>
                </wp:positionV>
                <wp:extent cx="586679" cy="578970"/>
                <wp:effectExtent l="12700" t="12700" r="10795" b="18415"/>
                <wp:wrapNone/>
                <wp:docPr id="5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679" cy="5789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3" type="#_x0000_t3" style="position:absolute;z-index:251664384;o:allowoverlap:true;o:allowincell:true;mso-position-horizontal-relative:text;margin-left:-21.13pt;mso-position-horizontal:absolute;mso-position-vertical-relative:text;margin-top:-7.44pt;mso-position-vertical:absolute;width:46.20pt;height:45.59pt;mso-wrap-distance-left:9.00pt;mso-wrap-distance-top:0.00pt;mso-wrap-distance-right:9.00pt;mso-wrap-distance-bottom:0.00pt;v-text-anchor:middle;visibility:visible;" filled="f" strokecolor="#000000" strokeweight="1.5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2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40"/>
          <w:szCs w:val="40"/>
        </w:rPr>
        <w:t xml:space="preserve">ЭГДС выполняется строго натощак!</w:t>
      </w:r>
      <w:r>
        <w:rPr>
          <w:rFonts w:ascii="Calibri" w:hAnsi="Calibri"/>
          <w:b/>
          <w:bCs/>
          <w:sz w:val="40"/>
          <w:szCs w:val="40"/>
        </w:rPr>
      </w:r>
    </w:p>
    <w:p>
      <w:pPr>
        <w:pStyle w:val="647"/>
        <w:ind w:left="709" w:firstLine="1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</w:r>
    </w:p>
    <w:p>
      <w:pPr>
        <w:rPr>
          <w:rFonts w:ascii="Calibri" w:hAnsi="Calibri" w:cs="Arial"/>
          <w:b/>
          <w:color w:val="c0000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-1013590</wp:posOffset>
                </wp:positionH>
                <wp:positionV relativeFrom="paragraph">
                  <wp:posOffset>356043</wp:posOffset>
                </wp:positionV>
                <wp:extent cx="728215" cy="703388"/>
                <wp:effectExtent l="12700" t="12700" r="8890" b="8255"/>
                <wp:wrapNone/>
                <wp:docPr id="6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28215" cy="703388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3" type="#_x0000_t3" style="position:absolute;z-index:251668480;o:allowoverlap:true;o:allowincell:true;mso-position-horizontal-relative:text;margin-left:-79.81pt;mso-position-horizontal:absolute;mso-position-vertical-relative:text;margin-top:28.03pt;mso-position-vertical:absolute;width:57.34pt;height:55.38pt;mso-wrap-distance-left:9.00pt;mso-wrap-distance-top:0.00pt;mso-wrap-distance-right:9.00pt;mso-wrap-distance-bottom:0.00pt;v-text-anchor:middle;visibility:visible;" filled="f" strokecolor="#000000" strokeweight="2.00pt">
                <v:stroke dashstyle="solid"/>
                <v:textbox inset="0,0,0,0">
                  <w:txbxContent>
                    <w:p>
                      <w:pP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color w:val="1a1a1a"/>
          <w:sz w:val="28"/>
          <w:szCs w:val="28"/>
          <w:shd w:val="clear" w:color="auto" w:fill="fffff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-1013873</wp:posOffset>
                </wp:positionH>
                <wp:positionV relativeFrom="paragraph">
                  <wp:posOffset>355600</wp:posOffset>
                </wp:positionV>
                <wp:extent cx="694063" cy="694063"/>
                <wp:effectExtent l="0" t="0" r="4445" b="0"/>
                <wp:wrapNone/>
                <wp:docPr id="7" name="Рисунок 32" descr="Сервировка стола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3816629" name="Рисунок 1553816629" descr="Сервировка стола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94063" cy="69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7456;o:allowoverlap:true;o:allowincell:true;mso-position-horizontal-relative:text;margin-left:-79.83pt;mso-position-horizontal:absolute;mso-position-vertical-relative:text;margin-top:28.00pt;mso-position-vertical:absolute;width:54.65pt;height:54.65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-186086</wp:posOffset>
                </wp:positionH>
                <wp:positionV relativeFrom="paragraph">
                  <wp:posOffset>126510</wp:posOffset>
                </wp:positionV>
                <wp:extent cx="6172835" cy="3744052"/>
                <wp:effectExtent l="12700" t="12700" r="12065" b="15240"/>
                <wp:wrapNone/>
                <wp:docPr id="8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835" cy="3744052"/>
                        </a:xfrm>
                        <a:prstGeom prst="roundRect">
                          <a:avLst>
                            <a:gd name="adj" fmla="val 4838"/>
                          </a:avLst>
                        </a:prstGeom>
                        <a:noFill/>
                        <a:ln w="25400">
                          <a:solidFill>
                            <a:srgbClr val="D26F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" type="#_x0000_t2" style="position:absolute;z-index:-251666432;o:allowoverlap:true;o:allowincell:true;mso-position-horizontal-relative:text;margin-left:-14.65pt;mso-position-horizontal:absolute;mso-position-vertical-relative:text;margin-top:9.96pt;mso-position-vertical:absolute;width:486.05pt;height:294.81pt;mso-wrap-distance-left:9.00pt;mso-wrap-distance-top:0.00pt;mso-wrap-distance-right:9.00pt;mso-wrap-distance-bottom:0.00pt;visibility:visible;" filled="f" strokecolor="#D26F85" strokeweight="2.00pt">
                <v:stroke dashstyle="solid"/>
              </v:shape>
            </w:pict>
          </mc:Fallback>
        </mc:AlternateContent>
      </w:r>
      <w:r>
        <w:rPr>
          <w:rFonts w:ascii="Calibri" w:hAnsi="Calibri" w:cs="Arial"/>
          <w:b/>
          <w:color w:val="c00000"/>
          <w:sz w:val="20"/>
          <w:szCs w:val="20"/>
          <w:shd w:val="clear" w:color="auto" w:fill="ffffff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color w:val="1a1a1a"/>
          <w:sz w:val="40"/>
          <w:szCs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-871091</wp:posOffset>
                </wp:positionH>
                <wp:positionV relativeFrom="paragraph">
                  <wp:posOffset>142322</wp:posOffset>
                </wp:positionV>
                <wp:extent cx="441695" cy="553891"/>
                <wp:effectExtent l="12700" t="12700" r="15875" b="17780"/>
                <wp:wrapNone/>
                <wp:docPr id="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1695" cy="55389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69504;mso-wrap-distance-left:9.00pt;mso-wrap-distance-top:0.00pt;mso-wrap-distance-right:9.00pt;mso-wrap-distance-bottom:0.00pt;visibility:visible;" from="-68.6pt,11.2pt" to="-33.8pt,54.8pt" filled="f" strokecolor="#000000" strokeweight="2.25pt">
                <v:stroke dashstyle="solid"/>
              </v:line>
            </w:pict>
          </mc:Fallback>
        </mc:AlternateContent>
      </w:r>
      <w:r>
        <w:rPr>
          <w:rFonts w:ascii="Calibri" w:hAnsi="Calibri"/>
          <w:sz w:val="28"/>
          <w:szCs w:val="28"/>
        </w:rPr>
        <w:t xml:space="preserve">В день исследования следует воздержаться от приёма пищи и питья, курения. </w:t>
      </w:r>
      <w:r>
        <w:rPr>
          <w:rFonts w:ascii="Calibri" w:hAnsi="Calibri"/>
          <w:sz w:val="28"/>
          <w:szCs w:val="28"/>
        </w:rPr>
      </w:r>
    </w:p>
    <w:p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у вас есть необходимость в ежедневном приёме каких-либо лекарственных препаратов – запланируйте исследование на более раннее время. Уже через 30 минут после процедуры вы сможете принять лекарства.</w:t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Если процедура запланирована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до 14 часов</w:t>
      </w:r>
      <w:r>
        <w:rPr>
          <w:rFonts w:ascii="Calibri" w:hAnsi="Calibri"/>
          <w:sz w:val="28"/>
          <w:szCs w:val="28"/>
        </w:rPr>
        <w:t xml:space="preserve">, то последний прием пищи должен быть не позднее 19:00 вечером накануне.</w:t>
      </w:r>
      <w:r>
        <w:rPr>
          <w:rFonts w:ascii="Calibri" w:hAnsi="Calibri"/>
          <w:sz w:val="28"/>
          <w:szCs w:val="28"/>
        </w:rPr>
      </w:r>
    </w:p>
    <w:p>
      <w:pPr>
        <w:pStyle w:val="647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При выполнении исследования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после 14 часов</w:t>
      </w:r>
      <w:r>
        <w:rPr>
          <w:rFonts w:ascii="Calibri" w:hAnsi="Calibri"/>
          <w:sz w:val="28"/>
          <w:szCs w:val="28"/>
        </w:rPr>
        <w:t xml:space="preserve">,</w:t>
      </w:r>
      <w:r>
        <w:rPr>
          <w:rFonts w:ascii="Calibri" w:hAnsi="Calibri"/>
          <w:sz w:val="28"/>
          <w:szCs w:val="28"/>
        </w:rPr>
        <w:t xml:space="preserve"> достаточно воздержаться от приёма пищи в течение 8 часов. Разрешены прозрачные жидкости</w:t>
      </w:r>
      <w:r>
        <w:rPr>
          <w:rFonts w:ascii="Calibri" w:hAnsi="Calibri"/>
          <w:sz w:val="28"/>
          <w:szCs w:val="28"/>
        </w:rPr>
        <w:t xml:space="preserve"> (вода, чай с сахаром или без)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</w:r>
    </w:p>
    <w:p>
      <w:pPr>
        <w:pStyle w:val="64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>
        <w:rPr>
          <w:rFonts w:ascii="Calibri" w:hAnsi="Calibri"/>
          <w:sz w:val="28"/>
          <w:szCs w:val="28"/>
        </w:rPr>
      </w:r>
    </w:p>
    <w:p>
      <w:pPr>
        <w:pStyle w:val="647"/>
        <w:numPr>
          <w:ilvl w:val="0"/>
          <w:numId w:val="1"/>
        </w:num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З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а 2 часа</w:t>
      </w:r>
      <w:r>
        <w:rPr>
          <w:rFonts w:ascii="Calibri" w:hAnsi="Calibri"/>
          <w:sz w:val="28"/>
          <w:szCs w:val="28"/>
        </w:rPr>
        <w:t xml:space="preserve"> до исследования</w:t>
      </w:r>
      <w:r>
        <w:rPr>
          <w:rFonts w:ascii="Calibri" w:hAnsi="Calibri"/>
          <w:sz w:val="28"/>
          <w:szCs w:val="28"/>
        </w:rPr>
        <w:t xml:space="preserve"> приём любой жидкости необходимо прекратить</w:t>
      </w:r>
      <w:r>
        <w:rPr>
          <w:rFonts w:ascii="Calibri" w:hAnsi="Calibri"/>
          <w:sz w:val="28"/>
          <w:szCs w:val="28"/>
        </w:rPr>
      </w:r>
    </w:p>
    <w:p>
      <w:pPr>
        <w:pStyle w:val="647"/>
        <w:ind w:left="709" w:firstLine="11"/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pP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r>
      <w:r>
        <w:rPr>
          <w:rFonts w:ascii="Calibri" w:hAnsi="Calibri" w:cs="Arial"/>
          <w:b/>
          <w:color w:val="c00000"/>
          <w:sz w:val="36"/>
          <w:szCs w:val="36"/>
          <w:shd w:val="clear" w:color="auto" w:fill="ffffff"/>
        </w:rPr>
      </w:r>
    </w:p>
    <w:p>
      <w:pPr>
        <w:ind w:left="-1276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-184208</wp:posOffset>
                </wp:positionH>
                <wp:positionV relativeFrom="paragraph">
                  <wp:posOffset>176820</wp:posOffset>
                </wp:positionV>
                <wp:extent cx="6172835" cy="1545936"/>
                <wp:effectExtent l="12700" t="12700" r="12065" b="16510"/>
                <wp:wrapNone/>
                <wp:docPr id="10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835" cy="15459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284"/>
                              <w:spacing w:line="240" w:lineRule="auto"/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Пациентам,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продолжающим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при подготовке к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ЭГДС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получать препараты группы агонистов ГПП-1 (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Оземпик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Квинсента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Семавик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Мунжаро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и пр.), необходимо в тече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ние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суток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перед исследованием принимать исключительно жидкую пищу (напр. йогурт без наполнителя, бульон, кефир)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spacing w:before="240" w:line="240" w:lineRule="auto"/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Calibri" w:hAnsi="Calibri" w:cs="Arial"/>
                                <w:color w:val="1a1a1a"/>
                                <w:sz w:val="28"/>
                                <w:szCs w:val="28"/>
                                <w:shd w:val="clear" w:color="auto" w:fill="ffffff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" type="#_x0000_t2" style="position:absolute;z-index:-251659264;o:allowoverlap:true;o:allowincell:true;mso-position-horizontal-relative:text;margin-left:-14.50pt;mso-position-horizontal:absolute;mso-position-vertical-relative:text;margin-top:13.92pt;mso-position-vertical:absolute;width:486.05pt;height:121.73pt;mso-wrap-distance-left:9.00pt;mso-wrap-distance-top:0.00pt;mso-wrap-distance-right:9.00pt;mso-wrap-distance-bottom:0.00pt;v-text-anchor:top;visibility:visible;" filled="f" strokecolor="#C00000" strokeweight="2.00pt">
                <v:textbox inset="0,0,0,0">
                  <w:txbxContent>
                    <w:p>
                      <w:pPr>
                        <w:ind w:left="284"/>
                        <w:spacing w:line="240" w:lineRule="auto"/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Пациентам,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продолжающим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при подготовке к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ЭГДС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получать препараты группы агонистов ГПП-1 (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Оземпик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Квинсента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Семавик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Мунжаро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и пр.), необходимо в тече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ние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суток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перед исследованием принимать исключительно жидкую пищу (напр. йогурт без наполнителя, бульон, кефир) </w:t>
                      </w:r>
                      <w:r>
                        <w:rPr>
                          <w:rFonts w:ascii="Calibri" w:hAnsi="Calibri" w:cs="Arial"/>
                          <w:bCs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line="240" w:lineRule="auto"/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  <w:shd w:val="clear" w:color="auto" w:fill="ffffff"/>
                        </w:rPr>
                      </w:r>
                    </w:p>
                    <w:p>
                      <w:pPr>
                        <w:spacing w:before="240" w:line="240" w:lineRule="auto"/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  <w:r>
                        <w:rPr>
                          <w:rFonts w:ascii="Calibri" w:hAnsi="Calibri" w:cs="Arial"/>
                          <w:color w:val="1a1a1a"/>
                          <w:sz w:val="28"/>
                          <w:szCs w:val="28"/>
                          <w:shd w:val="clear" w:color="auto" w:fill="ffffff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ind w:left="-1134"/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291465</wp:posOffset>
                </wp:positionV>
                <wp:extent cx="652780" cy="652780"/>
                <wp:effectExtent l="0" t="0" r="0" b="0"/>
                <wp:wrapNone/>
                <wp:docPr id="11" name="Рисунок 23" descr="Предупреждение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6478907" name="Рисунок 2096478907" descr="Предупреждение со сплошной заливко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/>
                      </pic:blipFill>
                      <pic:spPr bwMode="auto">
                        <a:xfrm flipH="1">
                          <a:off x="0" y="0"/>
                          <a:ext cx="6527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3360;o:allowoverlap:true;o:allowincell:true;mso-position-horizontal-relative:text;margin-left:-80.00pt;mso-position-horizontal:absolute;mso-position-vertical-relative:text;margin-top:22.95pt;mso-position-vertical:absolute;width:51.40pt;height:51.40pt;mso-wrap-distance-left:9.00pt;mso-wrap-distance-top:0.00pt;mso-wrap-distance-right:9.00pt;mso-wrap-distance-bottom:0.00pt;flip:x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pP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  <w:r>
        <w:rPr>
          <w:rFonts w:ascii="Calibri" w:hAnsi="Calibri" w:cs="Arial"/>
          <w:b/>
          <w:color w:val="1a1a1a"/>
          <w:sz w:val="28"/>
          <w:szCs w:val="28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pPr>
      <w:r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r>
      <w:r>
        <w:rPr>
          <w:rFonts w:ascii="Calibri" w:hAnsi="Calibri" w:cs="Arial"/>
          <w:b/>
          <w:color w:val="80340d" w:themeColor="accent2" w:themeShade="80"/>
          <w:sz w:val="40"/>
          <w:szCs w:val="40"/>
          <w:shd w:val="clear" w:color="auto" w:fill="ffffff"/>
        </w:rPr>
      </w:r>
    </w:p>
    <w:p>
      <w:pPr>
        <w:jc w:val="center"/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</w:pP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Своевременное выполнение 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видеоэзофагогастроскопии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  <w:t xml:space="preserve"> высокой чёткости является эффективной мерой профилактики рака верхних отделов ЖКТ. Проходите скрининговые исследования вовремя и будьте здоровы!</w:t>
      </w:r>
      <w:r>
        <w:rPr>
          <w:rFonts w:ascii="Calibri" w:hAnsi="Calibri" w:cs="Arial"/>
          <w:b/>
          <w:color w:val="80340d" w:themeColor="accent2" w:themeShade="80"/>
          <w:sz w:val="42"/>
          <w:szCs w:val="4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sz w:val="22"/>
      <w:szCs w:val="22"/>
      <w14:ligatures w14:val="none"/>
    </w:rPr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0f4761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0f4761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media1.svg"/><Relationship Id="rId11" Type="http://schemas.openxmlformats.org/officeDocument/2006/relationships/image" Target="media/image2.png"/><Relationship Id="rId12" Type="http://schemas.openxmlformats.org/officeDocument/2006/relationships/image" Target="media/media2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Новиков Алексей</cp:lastModifiedBy>
  <cp:revision>3</cp:revision>
  <dcterms:created xsi:type="dcterms:W3CDTF">2025-09-05T13:34:00Z</dcterms:created>
  <dcterms:modified xsi:type="dcterms:W3CDTF">2025-09-16T14:30:17Z</dcterms:modified>
</cp:coreProperties>
</file>